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tabs>
          <w:tab w:val="clear" w:pos="2111"/>
        </w:tabs>
        <w:spacing w:before="120" w:after="120"/>
        <w:ind w:left="-1" w:leftChars="-1" w:hanging="1"/>
        <w:jc w:val="left"/>
        <w:rPr>
          <w:rFonts w:ascii="宋体" w:hAnsi="宋体"/>
          <w:sz w:val="24"/>
          <w:szCs w:val="22"/>
        </w:rPr>
      </w:pPr>
      <w:r>
        <w:rPr>
          <w:rFonts w:hint="eastAsia" w:ascii="宋体" w:hAnsi="宋体"/>
          <w:sz w:val="22"/>
          <w:szCs w:val="22"/>
          <w:lang w:val="en-US" w:eastAsia="zh-CN"/>
        </w:rPr>
        <w:t>附件一</w:t>
      </w:r>
      <w:r>
        <w:rPr>
          <w:rFonts w:hint="eastAsia" w:ascii="宋体" w:hAnsi="宋体"/>
          <w:sz w:val="22"/>
          <w:szCs w:val="22"/>
        </w:rPr>
        <w:t xml:space="preserve">  监管指标表</w:t>
      </w:r>
    </w:p>
    <w:tbl>
      <w:tblPr>
        <w:tblStyle w:val="6"/>
        <w:tblW w:w="8520" w:type="dxa"/>
        <w:jc w:val="center"/>
        <w:tblLayout w:type="autofit"/>
        <w:tblCellMar>
          <w:top w:w="0" w:type="dxa"/>
          <w:left w:w="108" w:type="dxa"/>
          <w:bottom w:w="0" w:type="dxa"/>
          <w:right w:w="108" w:type="dxa"/>
        </w:tblCellMar>
      </w:tblPr>
      <w:tblGrid>
        <w:gridCol w:w="1318"/>
        <w:gridCol w:w="2204"/>
        <w:gridCol w:w="1073"/>
        <w:gridCol w:w="1884"/>
        <w:gridCol w:w="2041"/>
      </w:tblGrid>
      <w:tr>
        <w:tblPrEx>
          <w:tblCellMar>
            <w:top w:w="0" w:type="dxa"/>
            <w:left w:w="108" w:type="dxa"/>
            <w:bottom w:w="0" w:type="dxa"/>
            <w:right w:w="108" w:type="dxa"/>
          </w:tblCellMar>
        </w:tblPrEx>
        <w:trPr>
          <w:trHeight w:val="351" w:hRule="atLeast"/>
          <w:jc w:val="center"/>
        </w:trPr>
        <w:tc>
          <w:tcPr>
            <w:tcW w:w="8520" w:type="dxa"/>
            <w:gridSpan w:val="5"/>
            <w:tcBorders>
              <w:top w:val="nil"/>
              <w:left w:val="nil"/>
              <w:bottom w:val="nil"/>
              <w:right w:val="nil"/>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监管指标表</w:t>
            </w:r>
          </w:p>
        </w:tc>
      </w:tr>
      <w:tr>
        <w:tblPrEx>
          <w:tblCellMar>
            <w:top w:w="0" w:type="dxa"/>
            <w:left w:w="108" w:type="dxa"/>
            <w:bottom w:w="0" w:type="dxa"/>
            <w:right w:w="108" w:type="dxa"/>
          </w:tblCellMar>
        </w:tblPrEx>
        <w:trPr>
          <w:trHeight w:val="551" w:hRule="atLeast"/>
          <w:jc w:val="center"/>
        </w:trPr>
        <w:tc>
          <w:tcPr>
            <w:tcW w:w="1318" w:type="dxa"/>
            <w:tcBorders>
              <w:top w:val="nil"/>
              <w:left w:val="nil"/>
              <w:bottom w:val="nil"/>
              <w:right w:val="nil"/>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名称：</w:t>
            </w:r>
          </w:p>
        </w:tc>
        <w:tc>
          <w:tcPr>
            <w:tcW w:w="3277" w:type="dxa"/>
            <w:gridSpan w:val="2"/>
            <w:tcBorders>
              <w:top w:val="nil"/>
              <w:left w:val="nil"/>
              <w:bottom w:val="nil"/>
              <w:right w:val="nil"/>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884" w:type="dxa"/>
            <w:tcBorders>
              <w:top w:val="nil"/>
              <w:left w:val="nil"/>
              <w:bottom w:val="nil"/>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是否属于我国系统重要性银行（2022年度）</w:t>
            </w:r>
          </w:p>
        </w:tc>
        <w:tc>
          <w:tcPr>
            <w:tcW w:w="2041" w:type="dxa"/>
            <w:tcBorders>
              <w:top w:val="nil"/>
              <w:left w:val="nil"/>
              <w:bottom w:val="nil"/>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是</w:t>
            </w:r>
            <w:r>
              <w:rPr>
                <w:rFonts w:hint="eastAsia" w:asciiTheme="minorEastAsia" w:hAnsiTheme="minorEastAsia" w:eastAsiaTheme="minorEastAsia" w:cstheme="minorEastAsia"/>
                <w:color w:val="000000"/>
                <w:kern w:val="0"/>
                <w:sz w:val="18"/>
                <w:szCs w:val="18"/>
              </w:rPr>
              <w:sym w:font="Wingdings" w:char="00A8"/>
            </w:r>
            <w:r>
              <w:rPr>
                <w:rFonts w:hint="eastAsia" w:asciiTheme="minorEastAsia" w:hAnsiTheme="minorEastAsia" w:eastAsiaTheme="minorEastAsia" w:cstheme="minorEastAsia"/>
                <w:color w:val="000000"/>
                <w:kern w:val="0"/>
                <w:sz w:val="18"/>
                <w:szCs w:val="18"/>
              </w:rPr>
              <w:t xml:space="preserve">    否</w:t>
            </w:r>
            <w:r>
              <w:rPr>
                <w:rFonts w:hint="eastAsia" w:asciiTheme="minorEastAsia" w:hAnsiTheme="minorEastAsia" w:eastAsiaTheme="minorEastAsia" w:cstheme="minorEastAsia"/>
                <w:color w:val="000000"/>
                <w:kern w:val="0"/>
                <w:sz w:val="18"/>
                <w:szCs w:val="18"/>
              </w:rPr>
              <w:sym w:font="Wingdings" w:char="00A8"/>
            </w:r>
          </w:p>
        </w:tc>
      </w:tr>
      <w:tr>
        <w:tblPrEx>
          <w:tblCellMar>
            <w:top w:w="0" w:type="dxa"/>
            <w:left w:w="108" w:type="dxa"/>
            <w:bottom w:w="0" w:type="dxa"/>
            <w:right w:w="108" w:type="dxa"/>
          </w:tblCellMar>
        </w:tblPrEx>
        <w:trPr>
          <w:trHeight w:val="551" w:hRule="atLeast"/>
          <w:jc w:val="center"/>
        </w:trPr>
        <w:tc>
          <w:tcPr>
            <w:tcW w:w="1318" w:type="dxa"/>
            <w:tcBorders>
              <w:top w:val="nil"/>
              <w:left w:val="nil"/>
              <w:bottom w:val="nil"/>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属于第几组全国系统重要性银行</w:t>
            </w:r>
          </w:p>
        </w:tc>
        <w:tc>
          <w:tcPr>
            <w:tcW w:w="3277" w:type="dxa"/>
            <w:gridSpan w:val="2"/>
            <w:tcBorders>
              <w:top w:val="nil"/>
              <w:left w:val="nil"/>
              <w:bottom w:val="nil"/>
              <w:right w:val="nil"/>
            </w:tcBorders>
            <w:shd w:val="clear" w:color="auto" w:fill="auto"/>
            <w:vAlign w:val="center"/>
          </w:tcPr>
          <w:p>
            <w:pPr>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sym w:font="Wingdings" w:char="00A8"/>
            </w:r>
            <w:r>
              <w:rPr>
                <w:rFonts w:hint="eastAsia" w:asciiTheme="minorEastAsia" w:hAnsiTheme="minorEastAsia" w:eastAsiaTheme="minorEastAsia" w:cstheme="minorEastAsia"/>
                <w:color w:val="000000"/>
                <w:kern w:val="0"/>
                <w:sz w:val="18"/>
                <w:szCs w:val="18"/>
              </w:rPr>
              <w:t xml:space="preserve">第一组    </w:t>
            </w:r>
            <w:r>
              <w:rPr>
                <w:rFonts w:hint="eastAsia" w:asciiTheme="minorEastAsia" w:hAnsiTheme="minorEastAsia" w:eastAsiaTheme="minorEastAsia" w:cstheme="minorEastAsia"/>
                <w:color w:val="000000"/>
                <w:kern w:val="0"/>
                <w:sz w:val="18"/>
                <w:szCs w:val="18"/>
              </w:rPr>
              <w:sym w:font="Wingdings" w:char="00A8"/>
            </w:r>
            <w:r>
              <w:rPr>
                <w:rFonts w:hint="eastAsia" w:asciiTheme="minorEastAsia" w:hAnsiTheme="minorEastAsia" w:eastAsiaTheme="minorEastAsia" w:cstheme="minorEastAsia"/>
                <w:color w:val="000000"/>
                <w:kern w:val="0"/>
                <w:sz w:val="18"/>
                <w:szCs w:val="18"/>
              </w:rPr>
              <w:t xml:space="preserve">第二组    </w:t>
            </w:r>
            <w:r>
              <w:rPr>
                <w:rFonts w:hint="eastAsia" w:asciiTheme="minorEastAsia" w:hAnsiTheme="minorEastAsia" w:eastAsiaTheme="minorEastAsia" w:cstheme="minorEastAsia"/>
                <w:color w:val="000000"/>
                <w:kern w:val="0"/>
                <w:sz w:val="18"/>
                <w:szCs w:val="18"/>
              </w:rPr>
              <w:sym w:font="Wingdings" w:char="00A8"/>
            </w:r>
            <w:r>
              <w:rPr>
                <w:rFonts w:hint="eastAsia" w:asciiTheme="minorEastAsia" w:hAnsiTheme="minorEastAsia" w:eastAsiaTheme="minorEastAsia" w:cstheme="minorEastAsia"/>
                <w:color w:val="000000"/>
                <w:kern w:val="0"/>
                <w:sz w:val="18"/>
                <w:szCs w:val="18"/>
              </w:rPr>
              <w:t xml:space="preserve">第三组    </w:t>
            </w:r>
            <w:r>
              <w:rPr>
                <w:rFonts w:hint="eastAsia" w:asciiTheme="minorEastAsia" w:hAnsiTheme="minorEastAsia" w:eastAsiaTheme="minorEastAsia" w:cstheme="minorEastAsia"/>
                <w:color w:val="000000"/>
                <w:kern w:val="0"/>
                <w:sz w:val="18"/>
                <w:szCs w:val="18"/>
              </w:rPr>
              <w:br w:type="textWrapping"/>
            </w:r>
            <w:bookmarkStart w:id="0" w:name="_GoBack"/>
            <w:bookmarkEnd w:id="0"/>
            <w:r>
              <w:rPr>
                <w:rFonts w:hint="eastAsia" w:asciiTheme="minorEastAsia" w:hAnsiTheme="minorEastAsia" w:eastAsiaTheme="minorEastAsia" w:cstheme="minorEastAsia"/>
                <w:color w:val="000000"/>
                <w:kern w:val="0"/>
                <w:sz w:val="18"/>
                <w:szCs w:val="18"/>
              </w:rPr>
              <w:sym w:font="Wingdings" w:char="00A8"/>
            </w:r>
            <w:r>
              <w:rPr>
                <w:rFonts w:hint="eastAsia" w:asciiTheme="minorEastAsia" w:hAnsiTheme="minorEastAsia" w:eastAsiaTheme="minorEastAsia" w:cstheme="minorEastAsia"/>
                <w:color w:val="000000"/>
                <w:kern w:val="0"/>
                <w:sz w:val="18"/>
                <w:szCs w:val="18"/>
              </w:rPr>
              <w:t>第四组</w:t>
            </w:r>
          </w:p>
        </w:tc>
        <w:tc>
          <w:tcPr>
            <w:tcW w:w="1884" w:type="dxa"/>
            <w:tcBorders>
              <w:top w:val="nil"/>
              <w:left w:val="nil"/>
              <w:bottom w:val="nil"/>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是否属于全球系统重要性银行（2022年度）</w:t>
            </w:r>
          </w:p>
        </w:tc>
        <w:tc>
          <w:tcPr>
            <w:tcW w:w="2041" w:type="dxa"/>
            <w:tcBorders>
              <w:top w:val="nil"/>
              <w:left w:val="nil"/>
              <w:bottom w:val="nil"/>
              <w:right w:val="nil"/>
            </w:tcBorders>
            <w:shd w:val="clear" w:color="auto" w:fill="auto"/>
            <w:vAlign w:val="center"/>
          </w:tcPr>
          <w:p>
            <w:pPr>
              <w:widowControl/>
              <w:jc w:val="center"/>
              <w:textAlignment w:val="center"/>
              <w:rPr>
                <w:rFonts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是</w:t>
            </w:r>
            <w:r>
              <w:rPr>
                <w:rFonts w:hint="eastAsia" w:asciiTheme="minorEastAsia" w:hAnsiTheme="minorEastAsia" w:eastAsiaTheme="minorEastAsia" w:cstheme="minorEastAsia"/>
                <w:color w:val="000000"/>
                <w:kern w:val="0"/>
                <w:sz w:val="18"/>
                <w:szCs w:val="18"/>
              </w:rPr>
              <w:sym w:font="Wingdings" w:char="00A8"/>
            </w:r>
            <w:r>
              <w:rPr>
                <w:rFonts w:hint="eastAsia" w:asciiTheme="minorEastAsia" w:hAnsiTheme="minorEastAsia" w:eastAsiaTheme="minorEastAsia" w:cstheme="minorEastAsia"/>
                <w:color w:val="000000"/>
                <w:kern w:val="0"/>
                <w:sz w:val="18"/>
                <w:szCs w:val="18"/>
              </w:rPr>
              <w:t xml:space="preserve">    否</w:t>
            </w:r>
            <w:r>
              <w:rPr>
                <w:rFonts w:hint="eastAsia" w:asciiTheme="minorEastAsia" w:hAnsiTheme="minorEastAsia" w:eastAsiaTheme="minorEastAsia" w:cstheme="minorEastAsia"/>
                <w:color w:val="000000"/>
                <w:kern w:val="0"/>
                <w:sz w:val="18"/>
                <w:szCs w:val="18"/>
              </w:rPr>
              <w:sym w:font="Wingdings" w:char="00A8"/>
            </w:r>
          </w:p>
        </w:tc>
      </w:tr>
      <w:tr>
        <w:tblPrEx>
          <w:tblCellMar>
            <w:top w:w="0" w:type="dxa"/>
            <w:left w:w="108" w:type="dxa"/>
            <w:bottom w:w="0" w:type="dxa"/>
            <w:right w:w="108" w:type="dxa"/>
          </w:tblCellMar>
        </w:tblPrEx>
        <w:trPr>
          <w:trHeight w:val="611" w:hRule="atLeast"/>
          <w:jc w:val="center"/>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指标名称</w:t>
            </w:r>
          </w:p>
        </w:tc>
        <w:tc>
          <w:tcPr>
            <w:tcW w:w="3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适用的监管标准</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rPr>
              <w:t>指标计算公式</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highlight w:val="none"/>
              </w:rPr>
              <w:t>指标值</w:t>
            </w:r>
          </w:p>
        </w:tc>
      </w:tr>
      <w:tr>
        <w:tblPrEx>
          <w:tblCellMar>
            <w:top w:w="0" w:type="dxa"/>
            <w:left w:w="108" w:type="dxa"/>
            <w:bottom w:w="0" w:type="dxa"/>
            <w:right w:w="108" w:type="dxa"/>
          </w:tblCellMar>
        </w:tblPrEx>
        <w:trPr>
          <w:trHeight w:val="561" w:hRule="atLeast"/>
          <w:jc w:val="center"/>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拨备覆盖率</w:t>
            </w:r>
          </w:p>
        </w:tc>
        <w:tc>
          <w:tcPr>
            <w:tcW w:w="3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贷款减值准备余额/不良贷款余额</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561" w:hRule="atLeast"/>
          <w:jc w:val="center"/>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不良贷款率</w:t>
            </w:r>
          </w:p>
        </w:tc>
        <w:tc>
          <w:tcPr>
            <w:tcW w:w="3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不良贷款余额/客户贷款及垫款总额</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561" w:hRule="atLeast"/>
          <w:jc w:val="center"/>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贷款拨备率</w:t>
            </w:r>
          </w:p>
        </w:tc>
        <w:tc>
          <w:tcPr>
            <w:tcW w:w="3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贷款减值准备余额/客户贷款及垫款总额</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561" w:hRule="atLeast"/>
          <w:jc w:val="center"/>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资本充足率</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非系统重要性银行</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（核心资本+附属资本）/加权风险资产总额</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611" w:hRule="atLeast"/>
          <w:jc w:val="center"/>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eastAsiaTheme="minorEastAsia" w:cstheme="minorEastAsia"/>
                <w:color w:val="000000"/>
                <w:sz w:val="18"/>
                <w:szCs w:val="18"/>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第一组系统重要性银行</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519" w:hRule="atLeast"/>
          <w:jc w:val="center"/>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eastAsiaTheme="minorEastAsia" w:cstheme="minorEastAsia"/>
                <w:color w:val="000000"/>
                <w:sz w:val="18"/>
                <w:szCs w:val="18"/>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第二组系统重要性银行</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482" w:hRule="atLeast"/>
          <w:jc w:val="center"/>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eastAsiaTheme="minorEastAsia" w:cstheme="minorEastAsia"/>
                <w:color w:val="000000"/>
                <w:sz w:val="18"/>
                <w:szCs w:val="18"/>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第三组系统重要性银行</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441" w:hRule="atLeast"/>
          <w:jc w:val="center"/>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eastAsiaTheme="minorEastAsia" w:cstheme="minorEastAsia"/>
                <w:color w:val="000000"/>
                <w:sz w:val="18"/>
                <w:szCs w:val="18"/>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第四组系统重要性银行</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311" w:hRule="atLeast"/>
          <w:jc w:val="center"/>
        </w:trPr>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杠杆率</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非系统重要性银行</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一级资本净额/调整后的表内外资产余额</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344" w:hRule="atLeast"/>
          <w:jc w:val="center"/>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第一组系统重要性银行</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373" w:hRule="atLeast"/>
          <w:jc w:val="center"/>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第二组系统重要性银行</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414" w:hRule="atLeast"/>
          <w:jc w:val="center"/>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第三组系统重要性银行</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318" w:hRule="atLeast"/>
          <w:jc w:val="center"/>
        </w:trPr>
        <w:tc>
          <w:tcPr>
            <w:tcW w:w="1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第四组系统重要性银行</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561" w:hRule="atLeast"/>
          <w:jc w:val="center"/>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人民币流动性比例</w:t>
            </w:r>
          </w:p>
        </w:tc>
        <w:tc>
          <w:tcPr>
            <w:tcW w:w="3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流动性资产余额/流动性负债余额</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561" w:hRule="atLeast"/>
          <w:jc w:val="center"/>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平均总资产利润率</w:t>
            </w:r>
          </w:p>
        </w:tc>
        <w:tc>
          <w:tcPr>
            <w:tcW w:w="3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净利润/期初和期末总资产余额的平均数</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561" w:hRule="atLeast"/>
          <w:jc w:val="center"/>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净利息收益率</w:t>
            </w:r>
          </w:p>
        </w:tc>
        <w:tc>
          <w:tcPr>
            <w:tcW w:w="3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18"/>
                <w:szCs w:val="18"/>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利息净收入/平均生息资产</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311" w:hRule="atLeast"/>
          <w:jc w:val="center"/>
        </w:trPr>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成本收入比</w:t>
            </w:r>
          </w:p>
        </w:tc>
        <w:tc>
          <w:tcPr>
            <w:tcW w:w="3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rPr>
              <w:t>营业费用/营业收入</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stheme="minorEastAsia"/>
                <w:color w:val="000000"/>
                <w:sz w:val="18"/>
                <w:szCs w:val="18"/>
              </w:rPr>
            </w:pPr>
          </w:p>
        </w:tc>
      </w:tr>
      <w:tr>
        <w:tblPrEx>
          <w:tblCellMar>
            <w:top w:w="0" w:type="dxa"/>
            <w:left w:w="108" w:type="dxa"/>
            <w:bottom w:w="0" w:type="dxa"/>
            <w:right w:w="108" w:type="dxa"/>
          </w:tblCellMar>
        </w:tblPrEx>
        <w:trPr>
          <w:trHeight w:val="311" w:hRule="atLeast"/>
          <w:jc w:val="center"/>
        </w:trPr>
        <w:tc>
          <w:tcPr>
            <w:tcW w:w="8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r>
              <w:rPr>
                <w:rFonts w:hint="eastAsia"/>
                <w:sz w:val="18"/>
                <w:szCs w:val="18"/>
              </w:rPr>
              <w:t xml:space="preserve">                                                                                     </w:t>
            </w:r>
          </w:p>
          <w:p>
            <w:pPr>
              <w:adjustRightInd w:val="0"/>
              <w:snapToGrid w:val="0"/>
              <w:spacing w:line="300" w:lineRule="auto"/>
              <w:jc w:val="center"/>
              <w:rPr>
                <w:snapToGrid w:val="0"/>
                <w:kern w:val="0"/>
                <w:sz w:val="18"/>
                <w:szCs w:val="18"/>
              </w:rPr>
            </w:pPr>
            <w:r>
              <w:rPr>
                <w:rFonts w:hint="eastAsia"/>
                <w:sz w:val="18"/>
                <w:szCs w:val="18"/>
              </w:rPr>
              <w:t xml:space="preserve">                                          </w:t>
            </w:r>
            <w:r>
              <w:rPr>
                <w:rFonts w:hint="eastAsia"/>
                <w:snapToGrid w:val="0"/>
                <w:kern w:val="0"/>
                <w:sz w:val="18"/>
                <w:szCs w:val="18"/>
              </w:rPr>
              <w:t xml:space="preserve"> 供应商：（盖章）</w:t>
            </w:r>
          </w:p>
          <w:p>
            <w:pPr>
              <w:adjustRightInd w:val="0"/>
              <w:snapToGrid w:val="0"/>
              <w:spacing w:line="300" w:lineRule="auto"/>
              <w:jc w:val="right"/>
              <w:rPr>
                <w:snapToGrid w:val="0"/>
                <w:kern w:val="0"/>
                <w:sz w:val="18"/>
                <w:szCs w:val="18"/>
              </w:rPr>
            </w:pPr>
          </w:p>
          <w:p>
            <w:pPr>
              <w:jc w:val="center"/>
              <w:rPr>
                <w:sz w:val="18"/>
                <w:szCs w:val="18"/>
              </w:rPr>
            </w:pPr>
            <w:r>
              <w:rPr>
                <w:rFonts w:hint="eastAsia"/>
                <w:snapToGrid w:val="0"/>
                <w:kern w:val="0"/>
                <w:sz w:val="18"/>
                <w:szCs w:val="18"/>
              </w:rPr>
              <w:t xml:space="preserve">                                                        法定代表人或授权代表：（签字）</w:t>
            </w:r>
          </w:p>
          <w:p>
            <w:pPr>
              <w:jc w:val="center"/>
              <w:rPr>
                <w:sz w:val="18"/>
                <w:szCs w:val="18"/>
              </w:rPr>
            </w:pPr>
          </w:p>
          <w:p>
            <w:pPr>
              <w:pStyle w:val="2"/>
              <w:jc w:val="center"/>
              <w:rPr>
                <w:sz w:val="18"/>
                <w:szCs w:val="18"/>
                <w:lang w:val="en-US" w:eastAsia="zh-CN"/>
              </w:rPr>
            </w:pPr>
            <w:r>
              <w:rPr>
                <w:rFonts w:hint="eastAsia" w:asciiTheme="minorEastAsia" w:hAnsiTheme="minorEastAsia" w:eastAsiaTheme="minorEastAsia" w:cstheme="minorEastAsia"/>
                <w:color w:val="000000"/>
                <w:sz w:val="18"/>
                <w:szCs w:val="18"/>
                <w:lang w:val="en-US" w:eastAsia="zh-CN"/>
              </w:rPr>
              <w:t xml:space="preserve">                                       年   月   日</w:t>
            </w:r>
          </w:p>
        </w:tc>
      </w:tr>
      <w:tr>
        <w:tblPrEx>
          <w:tblCellMar>
            <w:top w:w="0" w:type="dxa"/>
            <w:left w:w="108" w:type="dxa"/>
            <w:bottom w:w="0" w:type="dxa"/>
            <w:right w:w="108" w:type="dxa"/>
          </w:tblCellMar>
        </w:tblPrEx>
        <w:trPr>
          <w:trHeight w:val="1112" w:hRule="atLeast"/>
          <w:jc w:val="center"/>
        </w:trPr>
        <w:tc>
          <w:tcPr>
            <w:tcW w:w="8520" w:type="dxa"/>
            <w:gridSpan w:val="5"/>
            <w:tcBorders>
              <w:top w:val="nil"/>
              <w:left w:val="nil"/>
              <w:bottom w:val="nil"/>
              <w:right w:val="nil"/>
            </w:tcBorders>
            <w:shd w:val="clear" w:color="auto" w:fill="auto"/>
            <w:vAlign w:val="center"/>
          </w:tcPr>
          <w:p>
            <w:pPr>
              <w:widowControl/>
              <w:jc w:val="left"/>
              <w:textAlignment w:val="center"/>
              <w:rPr>
                <w:sz w:val="18"/>
                <w:szCs w:val="18"/>
              </w:rPr>
            </w:pPr>
            <w:r>
              <w:rPr>
                <w:rFonts w:hint="eastAsia"/>
                <w:sz w:val="18"/>
                <w:szCs w:val="18"/>
              </w:rPr>
              <w:t>注：</w:t>
            </w:r>
          </w:p>
          <w:p>
            <w:pPr>
              <w:widowControl/>
              <w:jc w:val="left"/>
              <w:textAlignment w:val="center"/>
              <w:rPr>
                <w:sz w:val="18"/>
                <w:szCs w:val="18"/>
              </w:rPr>
            </w:pPr>
            <w:r>
              <w:rPr>
                <w:rFonts w:hint="eastAsia"/>
                <w:sz w:val="18"/>
                <w:szCs w:val="18"/>
              </w:rPr>
              <w:t>1.指标数值统一采用上一年度末数据。</w:t>
            </w:r>
          </w:p>
          <w:p>
            <w:pPr>
              <w:pStyle w:val="2"/>
              <w:spacing w:after="0"/>
              <w:rPr>
                <w:sz w:val="18"/>
                <w:szCs w:val="18"/>
                <w:lang w:val="en-US" w:eastAsia="zh-CN"/>
              </w:rPr>
            </w:pPr>
            <w:r>
              <w:rPr>
                <w:rFonts w:hint="eastAsia"/>
                <w:sz w:val="18"/>
                <w:szCs w:val="18"/>
                <w:lang w:val="en-US" w:eastAsia="zh-CN"/>
              </w:rPr>
              <w:t>2.根据我国《商业银行资本管理办法》、《系统重要性银行附加监管规定（试行）》等文件，系统重要性银行应计提附加资本、满足附加杠杆率要求；若商业银行同时被认定为国内系统重要性银行和全球系统重要性银行，附加资本要求不叠加，采用二者孰高原则确定。</w:t>
            </w:r>
          </w:p>
          <w:p>
            <w:pPr>
              <w:pStyle w:val="2"/>
              <w:spacing w:after="0"/>
              <w:rPr>
                <w:sz w:val="18"/>
                <w:szCs w:val="18"/>
                <w:lang w:val="en-US" w:eastAsia="zh-CN"/>
              </w:rPr>
            </w:pPr>
            <w:r>
              <w:rPr>
                <w:rFonts w:hint="eastAsia"/>
                <w:sz w:val="18"/>
                <w:szCs w:val="18"/>
                <w:lang w:val="en-US" w:eastAsia="zh-CN"/>
              </w:rPr>
              <w:t>3.供应商应根据自身性质，自行填写“适用的监管指标”栏。如供应商属于“第一组系统重要性银行”，则在资本充足率、杠杆率项目中仅需填自身适用的栏目。</w:t>
            </w:r>
          </w:p>
          <w:p>
            <w:pPr>
              <w:widowControl/>
              <w:jc w:val="left"/>
              <w:textAlignment w:val="center"/>
              <w:rPr>
                <w:sz w:val="18"/>
                <w:szCs w:val="18"/>
              </w:rPr>
            </w:pPr>
            <w:r>
              <w:rPr>
                <w:rFonts w:hint="eastAsia"/>
                <w:sz w:val="18"/>
                <w:szCs w:val="18"/>
                <w:lang w:val="en-US" w:eastAsia="zh-CN"/>
              </w:rPr>
              <w:t>4</w:t>
            </w:r>
            <w:r>
              <w:rPr>
                <w:rFonts w:hint="eastAsia"/>
                <w:sz w:val="18"/>
                <w:szCs w:val="18"/>
              </w:rPr>
              <w:t>.第一期资金存放所涉及系统重要性银行名单以2022年度认定为准，详情可见《中国人民银行 中国银行保险监督管理委员会发布2022年我国系统重要性银行名单》，官网：</w:t>
            </w:r>
            <w:r>
              <w:fldChar w:fldCharType="begin"/>
            </w:r>
            <w:r>
              <w:instrText xml:space="preserve"> HYPERLINK "https://www.cbirc.gov.cn/cn/view/pages/ItemDetail.html?docId=1072307&amp;itemId=915&amp;generaltype=0）。" </w:instrText>
            </w:r>
            <w:r>
              <w:fldChar w:fldCharType="separate"/>
            </w:r>
            <w:r>
              <w:rPr>
                <w:rFonts w:hint="eastAsia"/>
                <w:sz w:val="18"/>
                <w:szCs w:val="18"/>
              </w:rPr>
              <w:t>https://www.cbirc.gov.cn/cn/view/pages/ItemDetail.html?docId=1072307&amp;itemId=915&amp;generaltype=0。</w:t>
            </w:r>
            <w:r>
              <w:rPr>
                <w:rFonts w:hint="eastAsia"/>
                <w:sz w:val="18"/>
                <w:szCs w:val="18"/>
              </w:rPr>
              <w:fldChar w:fldCharType="end"/>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3"/>
      <w:lvlText w:val="%5)"/>
      <w:lvlJc w:val="left"/>
      <w:pPr>
        <w:tabs>
          <w:tab w:val="left" w:pos="2111"/>
        </w:tabs>
        <w:ind w:left="2111" w:hanging="420"/>
      </w:pPr>
    </w:lvl>
    <w:lvl w:ilvl="5" w:tentative="0">
      <w:start w:val="1"/>
      <w:numFmt w:val="lowerRoman"/>
      <w:lvlText w:val="%6."/>
      <w:lvlJc w:val="right"/>
      <w:pPr>
        <w:tabs>
          <w:tab w:val="left" w:pos="2531"/>
        </w:tabs>
        <w:ind w:left="2531" w:hanging="420"/>
      </w:pPr>
    </w:lvl>
    <w:lvl w:ilvl="6" w:tentative="0">
      <w:start w:val="1"/>
      <w:numFmt w:val="decimal"/>
      <w:lvlText w:val="%7."/>
      <w:lvlJc w:val="left"/>
      <w:pPr>
        <w:tabs>
          <w:tab w:val="left" w:pos="2951"/>
        </w:tabs>
        <w:ind w:left="2951" w:hanging="420"/>
      </w:pPr>
    </w:lvl>
    <w:lvl w:ilvl="7" w:tentative="0">
      <w:start w:val="1"/>
      <w:numFmt w:val="lowerLetter"/>
      <w:lvlText w:val="%8)"/>
      <w:lvlJc w:val="left"/>
      <w:pPr>
        <w:tabs>
          <w:tab w:val="left" w:pos="3371"/>
        </w:tabs>
        <w:ind w:left="3371" w:hanging="420"/>
      </w:pPr>
    </w:lvl>
    <w:lvl w:ilvl="8" w:tentative="0">
      <w:start w:val="1"/>
      <w:numFmt w:val="lowerRoman"/>
      <w:lvlText w:val="%9."/>
      <w:lvlJc w:val="right"/>
      <w:pPr>
        <w:tabs>
          <w:tab w:val="left" w:pos="3791"/>
        </w:tabs>
        <w:ind w:left="37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92371"/>
    <w:rsid w:val="06BC2A67"/>
    <w:rsid w:val="0A2E47EC"/>
    <w:rsid w:val="208B704A"/>
    <w:rsid w:val="26A549E7"/>
    <w:rsid w:val="27BE4D0C"/>
    <w:rsid w:val="2B1803C1"/>
    <w:rsid w:val="308E79E5"/>
    <w:rsid w:val="381100E5"/>
    <w:rsid w:val="3A7F2907"/>
    <w:rsid w:val="3AFA5D73"/>
    <w:rsid w:val="3BEC05F4"/>
    <w:rsid w:val="40B416B7"/>
    <w:rsid w:val="5A1D0965"/>
    <w:rsid w:val="5AC9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5"/>
    <w:basedOn w:val="1"/>
    <w:next w:val="4"/>
    <w:qFormat/>
    <w:uiPriority w:val="0"/>
    <w:pPr>
      <w:keepNext/>
      <w:keepLines/>
      <w:numPr>
        <w:ilvl w:val="4"/>
        <w:numId w:val="1"/>
      </w:numPr>
      <w:tabs>
        <w:tab w:val="left" w:pos="371"/>
      </w:tabs>
      <w:spacing w:before="280" w:after="290" w:line="374" w:lineRule="auto"/>
      <w:outlineLvl w:val="4"/>
    </w:pPr>
    <w:rPr>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Normal Indent"/>
    <w:basedOn w:val="1"/>
    <w:qFormat/>
    <w:uiPriority w:val="0"/>
    <w:pPr>
      <w:ind w:firstLine="420" w:firstLineChars="200"/>
    </w:pPr>
  </w:style>
  <w:style w:type="paragraph" w:styleId="5">
    <w:name w:val="annotation text"/>
    <w:basedOn w:val="1"/>
    <w:qFormat/>
    <w:uiPriority w:val="99"/>
    <w:pPr>
      <w:jc w:val="left"/>
    </w:pPr>
  </w:style>
  <w:style w:type="character" w:styleId="8">
    <w:name w:val="annotation reference"/>
    <w:qFormat/>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2023-11-15T08:55:00Z</dcterms:created>
  <dc:creator>Gy</dc:creator>
  <cp:lastModifiedBy>甘益</cp:lastModifiedBy>
  <cp:lastPrinted>2023-11-24T08:17:20Z</cp:lastPrinted>
  <dcterms:modified xsi:type="dcterms:W3CDTF">2023-11-24T08:18:30Z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21767EF7457C487F93C4BD2239BD9235</vt:lpwstr>
  </property>
</Properties>
</file>